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740"/>
      </w:tblGrid>
      <w:tr w:rsidR="002937C0" w:rsidRPr="002937C0" w:rsidTr="002937C0">
        <w:trPr>
          <w:trHeight w:val="288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Konk</w:t>
            </w:r>
            <w:r w:rsidR="007E09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urs Doktoranckie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Granty Badawcze –</w:t>
            </w:r>
            <w:r w:rsidRPr="002937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katalog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wydatków</w:t>
            </w:r>
          </w:p>
        </w:tc>
      </w:tr>
      <w:tr w:rsidR="002937C0" w:rsidRPr="002937C0" w:rsidTr="002937C0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937C0" w:rsidRPr="002937C0" w:rsidTr="002937C0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Przykładowe pozycje</w:t>
            </w:r>
          </w:p>
        </w:tc>
      </w:tr>
      <w:tr w:rsidR="002937C0" w:rsidRPr="002937C0" w:rsidTr="002937C0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Aparatura naukowo-badawcza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Sprzęt spełniający definicję aparatury naukowo-badawczej</w:t>
            </w:r>
          </w:p>
        </w:tc>
      </w:tr>
      <w:tr w:rsidR="002937C0" w:rsidRPr="002937C0" w:rsidTr="002937C0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Sprzęt niebędący aparaturą naukowo-badawczą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Sprzęt elektroniczny niespełniający definicji aparatury naukowo-badawczej: sprzęt komputerowy, table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t, aparat fotograficzny, skaner ręczny</w:t>
            </w: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, pamięć zewnętrzna</w:t>
            </w:r>
          </w:p>
        </w:tc>
      </w:tr>
      <w:tr w:rsidR="002937C0" w:rsidRPr="002937C0" w:rsidTr="002937C0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Materiały niezbędne do realizacji projektu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odczynniki chemiczne, preparaty biologiczne, drobny sprzęt laboratoryjny, materiały zużywalne, kwestionariusze do badań ankietowych</w:t>
            </w:r>
          </w:p>
        </w:tc>
      </w:tr>
      <w:tr w:rsidR="002937C0" w:rsidRPr="002937C0" w:rsidTr="002937C0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Materiały biurowe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papier, tonery do drukarek, materiały piśmiennicze, segregatory, teczki</w:t>
            </w:r>
          </w:p>
        </w:tc>
      </w:tr>
      <w:tr w:rsidR="002937C0" w:rsidRPr="002937C0" w:rsidTr="002937C0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Zakup usług zewnętrznych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przekład, proofreading, redakcja językowa, koszty wydawnicze, usługi analityczne, usługi serwisowe</w:t>
            </w:r>
            <w:r w:rsidR="005A3D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A3DE7" w:rsidRPr="0071779B">
              <w:rPr>
                <w:rFonts w:ascii="Calibri" w:hAnsi="Calibri" w:cs="Calibri"/>
                <w:shd w:val="clear" w:color="auto" w:fill="FFFFFF"/>
              </w:rPr>
              <w:t>opracowania statystyczne, badania ankietowe</w:t>
            </w:r>
          </w:p>
        </w:tc>
      </w:tr>
      <w:tr w:rsidR="002937C0" w:rsidRPr="002937C0" w:rsidTr="002937C0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Zakup książek i czasopism naukowych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Zakup książek i czasopism naukowych w formatach papierowych i elektronicznych</w:t>
            </w:r>
          </w:p>
        </w:tc>
      </w:tr>
      <w:tr w:rsidR="002937C0" w:rsidRPr="002937C0" w:rsidTr="002937C0">
        <w:trPr>
          <w:trHeight w:val="115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Zakup dostępu do serwisów naukowych i baz danych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Dostęp do serwisów i baz danych, które nie są darmowe na terenie Uczelni</w:t>
            </w:r>
          </w:p>
        </w:tc>
      </w:tr>
      <w:tr w:rsidR="002937C0" w:rsidRPr="002937C0" w:rsidTr="002937C0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Zakup licencji na korzystanie z oprogramowania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937C0" w:rsidRPr="002937C0" w:rsidTr="002937C0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Transport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bilety lotnicze, bilety pociągowe, bilety autobusowe, koszt paliwa, bilety komunikacji zbiorowej</w:t>
            </w:r>
          </w:p>
        </w:tc>
      </w:tr>
      <w:tr w:rsidR="002937C0" w:rsidRPr="002937C0" w:rsidTr="002937C0">
        <w:trPr>
          <w:trHeight w:val="172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Koszt noclegu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 rachunku za jedną dobę noclegu (podróż krajowa) nie może przekraczać dwudziestokrotności stawki diety zgodnie z Rozporządzeniem Ministra Pracy i Polityki Społecznej z dn. 29 stycznia 2013 r.; </w:t>
            </w:r>
          </w:p>
          <w:p w:rsid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Koszt rachunku za jedną dobę noclegu (podróż zagraniczna) nie może przekraczać stawki w granicach limitu określonego w poszczególnych państwach w załączniku do ww. rozporządzenia</w:t>
            </w:r>
          </w:p>
        </w:tc>
      </w:tr>
      <w:tr w:rsidR="002937C0" w:rsidRPr="002937C0" w:rsidTr="002937C0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Koszt opłat konferencyjnych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C0" w:rsidRPr="002937C0" w:rsidRDefault="002937C0" w:rsidP="0029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37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0D0D8F" w:rsidRPr="002A3717" w:rsidTr="002A3717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8F" w:rsidRDefault="000D0D8F" w:rsidP="002A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D0D8F" w:rsidRPr="002A3717" w:rsidRDefault="000D0D8F" w:rsidP="002A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Inne koszty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D8F" w:rsidRPr="002A3717" w:rsidRDefault="000D0D8F" w:rsidP="002A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DCD">
              <w:rPr>
                <w:rFonts w:eastAsia="Times New Roman" w:cstheme="minorHAnsi"/>
                <w:lang w:eastAsia="pl-PL"/>
              </w:rPr>
              <w:t>usługi serwisowe, koszty napraw, usługi transportowe</w:t>
            </w:r>
          </w:p>
        </w:tc>
      </w:tr>
      <w:tr w:rsidR="002A3717" w:rsidRPr="002A3717" w:rsidTr="002A3717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717" w:rsidRPr="002A3717" w:rsidRDefault="002A3717" w:rsidP="002A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3717">
              <w:rPr>
                <w:rFonts w:ascii="Calibri" w:eastAsia="Times New Roman" w:hAnsi="Calibri" w:cs="Calibri"/>
                <w:color w:val="000000"/>
                <w:lang w:eastAsia="pl-PL"/>
              </w:rPr>
              <w:t>Koszt podwykonawstwa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17" w:rsidRPr="002A3717" w:rsidRDefault="002A3717" w:rsidP="002A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3717">
              <w:rPr>
                <w:rFonts w:ascii="Calibri" w:eastAsia="Times New Roman" w:hAnsi="Calibri" w:cs="Calibri"/>
                <w:color w:val="000000"/>
                <w:lang w:eastAsia="pl-PL"/>
              </w:rPr>
              <w:t>Do limitu 20% kosztów kwalifikowalnych projektu*</w:t>
            </w:r>
          </w:p>
        </w:tc>
      </w:tr>
    </w:tbl>
    <w:p w:rsidR="00A549C1" w:rsidRDefault="00A549C1"/>
    <w:p w:rsidR="002A3717" w:rsidRPr="007E0945" w:rsidRDefault="002A3717" w:rsidP="007E09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DCD">
        <w:rPr>
          <w:rFonts w:eastAsia="Times New Roman" w:cstheme="minorHAnsi"/>
          <w:lang w:eastAsia="pl-PL"/>
        </w:rPr>
        <w:t xml:space="preserve">*W szczególnym przypadku, wnioskodawca może starać się o zniesienie tego limitu. We wniosku należy zawrzeć niezbędne uzasadnienie i przedstawić mocne oraz skuteczne argumenty przemawiające za takim rozwiązaniem. Oceniający eksperci po analizie przedstawionych argumentów mogą podjąć decyzję o zniesieniu limitu, o ile koszty podwykonawstwa zostały skalkulowane w sposób racjonalny i wskazują na możliwość osiągnięcia założonych efektów przy niższych nakładach </w:t>
      </w:r>
      <w:r w:rsidRPr="00E54DCD">
        <w:rPr>
          <w:rFonts w:eastAsia="Times New Roman" w:cstheme="minorHAnsi"/>
          <w:lang w:eastAsia="pl-PL"/>
        </w:rPr>
        <w:lastRenderedPageBreak/>
        <w:t>finansowych, niż byłoby to do osiągnięcia przy realizacji tego działania w ramach zespołu badawczego. Eksperci mogą jednak nie uznać przedstawionej argumentacji – wówczas budżet projektu zostanie niżej oceniony, gdyż nie uwzględnia limitów, określonych w regulaminie konkursu.</w:t>
      </w:r>
    </w:p>
    <w:sectPr w:rsidR="002A3717" w:rsidRPr="007E0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52" w:rsidRDefault="00860F52" w:rsidP="00B4141B">
      <w:pPr>
        <w:spacing w:after="0" w:line="240" w:lineRule="auto"/>
      </w:pPr>
      <w:r>
        <w:separator/>
      </w:r>
    </w:p>
  </w:endnote>
  <w:endnote w:type="continuationSeparator" w:id="0">
    <w:p w:rsidR="00860F52" w:rsidRDefault="00860F52" w:rsidP="00B4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52" w:rsidRDefault="00860F52" w:rsidP="00B4141B">
      <w:pPr>
        <w:spacing w:after="0" w:line="240" w:lineRule="auto"/>
      </w:pPr>
      <w:r>
        <w:separator/>
      </w:r>
    </w:p>
  </w:footnote>
  <w:footnote w:type="continuationSeparator" w:id="0">
    <w:p w:rsidR="00860F52" w:rsidRDefault="00860F52" w:rsidP="00B4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1B" w:rsidRPr="004E6012" w:rsidRDefault="00B4141B" w:rsidP="00B4141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sz w:val="16"/>
        <w:szCs w:val="16"/>
      </w:rPr>
      <w:t>Załącznik nr 2</w:t>
    </w:r>
    <w:r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>
      <w:rPr>
        <w:rFonts w:asciiTheme="minorHAnsi" w:hAnsiTheme="minorHAnsi" w:cstheme="minorHAnsi"/>
        <w:bCs/>
        <w:sz w:val="16"/>
        <w:szCs w:val="16"/>
        <w:lang w:val="pl-PL"/>
      </w:rPr>
      <w:t>Doktoranckie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Grant</w:t>
    </w:r>
    <w:r>
      <w:rPr>
        <w:rFonts w:asciiTheme="minorHAnsi" w:hAnsiTheme="minorHAnsi" w:cstheme="minorHAnsi"/>
        <w:bCs/>
        <w:sz w:val="16"/>
        <w:szCs w:val="16"/>
        <w:lang w:val="pl-PL"/>
      </w:rPr>
      <w:t>y Badawcze</w:t>
    </w:r>
  </w:p>
  <w:p w:rsidR="00B4141B" w:rsidRPr="00B4141B" w:rsidRDefault="00B4141B" w:rsidP="00B414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46"/>
    <w:rsid w:val="000D0D8F"/>
    <w:rsid w:val="00220FF0"/>
    <w:rsid w:val="002937C0"/>
    <w:rsid w:val="002A3717"/>
    <w:rsid w:val="002E41F6"/>
    <w:rsid w:val="005A3DE7"/>
    <w:rsid w:val="00653F60"/>
    <w:rsid w:val="006E3516"/>
    <w:rsid w:val="007E0945"/>
    <w:rsid w:val="00860F52"/>
    <w:rsid w:val="00A549C1"/>
    <w:rsid w:val="00AB7F15"/>
    <w:rsid w:val="00B4141B"/>
    <w:rsid w:val="00D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1B"/>
  </w:style>
  <w:style w:type="paragraph" w:styleId="Stopka">
    <w:name w:val="footer"/>
    <w:basedOn w:val="Normalny"/>
    <w:link w:val="StopkaZnak"/>
    <w:uiPriority w:val="99"/>
    <w:unhideWhenUsed/>
    <w:rsid w:val="00B4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1B"/>
  </w:style>
  <w:style w:type="paragraph" w:styleId="NormalnyWeb">
    <w:name w:val="Normal (Web)"/>
    <w:basedOn w:val="Normalny"/>
    <w:uiPriority w:val="99"/>
    <w:semiHidden/>
    <w:unhideWhenUsed/>
    <w:rsid w:val="00B4141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1B"/>
  </w:style>
  <w:style w:type="paragraph" w:styleId="Stopka">
    <w:name w:val="footer"/>
    <w:basedOn w:val="Normalny"/>
    <w:link w:val="StopkaZnak"/>
    <w:uiPriority w:val="99"/>
    <w:unhideWhenUsed/>
    <w:rsid w:val="00B4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1B"/>
  </w:style>
  <w:style w:type="paragraph" w:styleId="NormalnyWeb">
    <w:name w:val="Normal (Web)"/>
    <w:basedOn w:val="Normalny"/>
    <w:uiPriority w:val="99"/>
    <w:semiHidden/>
    <w:unhideWhenUsed/>
    <w:rsid w:val="00B4141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Grabowski</dc:creator>
  <cp:keywords/>
  <dc:description/>
  <cp:lastModifiedBy>Mateusz Grabowski</cp:lastModifiedBy>
  <cp:revision>12</cp:revision>
  <dcterms:created xsi:type="dcterms:W3CDTF">2021-01-19T00:51:00Z</dcterms:created>
  <dcterms:modified xsi:type="dcterms:W3CDTF">2021-04-22T14:54:00Z</dcterms:modified>
</cp:coreProperties>
</file>